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Омской области от 19.12.2025 N 672-п</w:t>
              <w:br/>
              <w:t xml:space="preserve">"Об утверждении Плана мероприятий ("дорожной карты") по реализации системы долговременного ухода за гражданами пожилого возраста и инвалидами, нуждающимися в уходе, на территории Омской области в 2026 году"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ОМСКОЙ ОБЛАСТИ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19 декабря 2025 г. N 672-п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ПЛАНА МЕРОПРИЯТИЙ ("ДОРОЖНОЙ КАРТЫ")</w:t>
      </w:r>
    </w:p>
    <w:p>
      <w:pPr>
        <w:pStyle w:val="2"/>
        <w:jc w:val="center"/>
      </w:pPr>
      <w:r>
        <w:rPr>
          <w:sz w:val="24"/>
        </w:rPr>
        <w:t xml:space="preserve">ПО РЕАЛИЗАЦИИ СИСТЕМЫ ДОЛГОВРЕМЕННОГО УХОДА ЗА ГРАЖДАНАМИ</w:t>
      </w:r>
    </w:p>
    <w:p>
      <w:pPr>
        <w:pStyle w:val="2"/>
        <w:jc w:val="center"/>
      </w:pPr>
      <w:r>
        <w:rPr>
          <w:sz w:val="24"/>
        </w:rPr>
        <w:t xml:space="preserve">ПОЖИЛОГО ВОЗРАСТА И ИНВАЛИДАМИ, НУЖДАЮЩИМИСЯ В УХОДЕ,</w:t>
      </w:r>
    </w:p>
    <w:p>
      <w:pPr>
        <w:pStyle w:val="2"/>
        <w:jc w:val="center"/>
      </w:pPr>
      <w:r>
        <w:rPr>
          <w:sz w:val="24"/>
        </w:rPr>
        <w:t xml:space="preserve">НА ТЕРРИТОРИИ ОМСКОЙ ОБЛАСТИ В 2026 ГОДУ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Во исполнение </w:t>
      </w:r>
      <w:hyperlink w:history="0" r:id="rId8" w:tooltip="Указ Президента РФ от 07.05.2024 N 309 &quot;О национальных целях развития Российской Федерации на период до 2030 года и на перспективу до 2036 года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Российской Федерации от 7 мая 2024 года N 309 "О национальных целях развития Российской Федерации на период до 2030 года и на перспективу до 2036 года", в целях реализации в рамках федерального проекта "Старшее поколение" национального проекта "Семья" мероприятий по созданию системы долговременного ухода за гражданами пожилого возраста и инвалидами, нуждающимися в уходе, на территории Омской области в 2026 году Правительство Омской области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</w:t>
      </w:r>
      <w:hyperlink w:history="0" w:anchor="P29" w:tooltip="ПЛАН МЕРОПРИЯТИЙ">
        <w:r>
          <w:rPr>
            <w:sz w:val="24"/>
            <w:color w:val="0000ff"/>
          </w:rPr>
          <w:t xml:space="preserve">План</w:t>
        </w:r>
      </w:hyperlink>
      <w:r>
        <w:rPr>
          <w:sz w:val="24"/>
        </w:rPr>
        <w:t xml:space="preserve"> мероприятий ("дорожную карту") по реализации системы долговременного ухода за гражданами пожилого возраста и инвалидами, нуждающимися в уходе, на территории Омской области в 2026 году (далее - План мероприятий).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Министерству труда и социального развития Омской области, Министерству здравоохранения Омской области обеспечить реализацию Плана мероприятий.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Контроль за исполнением настоящего постановления возложить на заместителя Председателя Правительства Омской области А.С. Ромахина.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Исполняющий обязанности</w:t>
      </w:r>
    </w:p>
    <w:p>
      <w:pPr>
        <w:pStyle w:val="0"/>
        <w:jc w:val="right"/>
      </w:pPr>
      <w:r>
        <w:rPr>
          <w:sz w:val="24"/>
        </w:rPr>
        <w:t xml:space="preserve">Председателя Правительства</w:t>
      </w:r>
    </w:p>
    <w:p>
      <w:pPr>
        <w:pStyle w:val="0"/>
        <w:jc w:val="right"/>
      </w:pPr>
      <w:r>
        <w:rPr>
          <w:sz w:val="24"/>
        </w:rPr>
        <w:t xml:space="preserve">Омской области</w:t>
      </w:r>
    </w:p>
    <w:p>
      <w:pPr>
        <w:pStyle w:val="0"/>
        <w:jc w:val="right"/>
      </w:pPr>
      <w:r>
        <w:rPr>
          <w:sz w:val="24"/>
        </w:rPr>
        <w:t xml:space="preserve">Р.Р.Мингазов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постановлению Правительства Омской области</w:t>
      </w:r>
    </w:p>
    <w:p>
      <w:pPr>
        <w:pStyle w:val="0"/>
        <w:jc w:val="right"/>
      </w:pPr>
      <w:r>
        <w:rPr>
          <w:sz w:val="24"/>
        </w:rPr>
        <w:t xml:space="preserve">от 19 декабря 2025 г. N 672-п</w:t>
      </w:r>
    </w:p>
    <w:p>
      <w:pPr>
        <w:pStyle w:val="0"/>
        <w:jc w:val="both"/>
      </w:pPr>
      <w:r>
        <w:rPr>
          <w:sz w:val="24"/>
        </w:rPr>
      </w:r>
    </w:p>
    <w:bookmarkStart w:id="29" w:name="P29"/>
    <w:bookmarkEnd w:id="29"/>
    <w:p>
      <w:pPr>
        <w:pStyle w:val="2"/>
        <w:jc w:val="center"/>
      </w:pPr>
      <w:r>
        <w:rPr>
          <w:sz w:val="24"/>
        </w:rPr>
        <w:t xml:space="preserve">ПЛАН МЕРОПРИЯТИЙ</w:t>
      </w:r>
    </w:p>
    <w:p>
      <w:pPr>
        <w:pStyle w:val="2"/>
        <w:jc w:val="center"/>
      </w:pPr>
      <w:r>
        <w:rPr>
          <w:sz w:val="24"/>
        </w:rPr>
        <w:t xml:space="preserve">("дорожная карта") по реализации системы долговременного</w:t>
      </w:r>
    </w:p>
    <w:p>
      <w:pPr>
        <w:pStyle w:val="2"/>
        <w:jc w:val="center"/>
      </w:pPr>
      <w:r>
        <w:rPr>
          <w:sz w:val="24"/>
        </w:rPr>
        <w:t xml:space="preserve">ухода за гражданами пожилого возраста и инвалидами,</w:t>
      </w:r>
    </w:p>
    <w:p>
      <w:pPr>
        <w:pStyle w:val="2"/>
        <w:jc w:val="center"/>
      </w:pPr>
      <w:r>
        <w:rPr>
          <w:sz w:val="24"/>
        </w:rPr>
        <w:t xml:space="preserve">нуждающимися в уходе, на территории Омской области</w:t>
      </w:r>
    </w:p>
    <w:p>
      <w:pPr>
        <w:pStyle w:val="2"/>
        <w:jc w:val="center"/>
      </w:pPr>
      <w:r>
        <w:rPr>
          <w:sz w:val="24"/>
        </w:rPr>
        <w:t xml:space="preserve">в 2026 году</w:t>
      </w:r>
    </w:p>
    <w:p>
      <w:pPr>
        <w:pStyle w:val="0"/>
        <w:jc w:val="both"/>
      </w:pPr>
      <w:r>
        <w:rPr>
          <w:sz w:val="24"/>
        </w:rPr>
      </w:r>
    </w:p>
    <w:p>
      <w:pPr>
        <w:sectPr>
          <w:headerReference w:type="default" r:id="rId6"/>
          <w:headerReference w:type="first" r:id="rId6"/>
          <w:footerReference w:type="default" r:id="rId7"/>
          <w:footerReference w:type="first" r:id="rId7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W w:w="5000" w:type="pct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907"/>
        <w:gridCol w:w="3458"/>
        <w:gridCol w:w="2665"/>
        <w:gridCol w:w="3685"/>
        <w:gridCol w:w="1247"/>
        <w:gridCol w:w="1304"/>
        <w:gridCol w:w="1531"/>
        <w:gridCol w:w="1361"/>
      </w:tblGrid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п/п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мероприятия/контрольные точки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Ответственный исполнитель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Ожидаемый результат/вид документа</w:t>
            </w:r>
          </w:p>
        </w:tc>
        <w:tc>
          <w:tcPr>
            <w:gridSpan w:val="2"/>
            <w:tcW w:w="25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Срок реализации</w:t>
            </w:r>
          </w:p>
        </w:tc>
        <w:tc>
          <w:tcPr>
            <w:gridSpan w:val="2"/>
            <w:tcW w:w="28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Финансирование мероприятий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Начало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Окончание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Источник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финансирования, тыс. рублей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345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368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8</w:t>
            </w:r>
          </w:p>
        </w:tc>
      </w:tr>
      <w:tr>
        <w:tc>
          <w:tcPr>
            <w:tcW w:w="907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gridSpan w:val="7"/>
            <w:tcW w:w="15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Организационные мероприятия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1.1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Утверждение модели системы долговременного ухода за гражданами пожилого возраста и инвалидами, нуждающимися в уходе (далее - СДУ), на территории Омской области в 2026 году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труда и социального развития Омской области (далее - Минтруд)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Актуализация </w:t>
            </w:r>
            <w:hyperlink w:history="0" r:id="rId11" w:tooltip="Постановление Правительства Омской области от 28.09.2023 N 522-п (ред. от 06.03.2025) &quot;О реализации Модели системы долговременного ухода за гражданами пожилого возраста и инвалидами, нуждающимися в уходе, на территории Омской области в 2025 году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Омской области от 28 сентября 2023 года N 522-п "О реализации Модели системы долговременного ухода за гражданами пожилого возраста и инвалидами, нуждающимися в уходе, на территории Омской области в 2025 году" (при необходимости)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28.02.2026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1.2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Определение территорий (муниципальных образований) для реализации модели СДУ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Актуализация </w:t>
            </w:r>
            <w:hyperlink w:history="0" r:id="rId12" w:tooltip="Распоряжение Правительства Омской области от 21.09.2023 N 204-рп (ред. от 30.01.2025) &quot;Об определении территории для реализации Модели системы долговременного ухода за гражданами пожилого возраста и инвалидами, нуждающимися в уходе, на территории Омской области в 2025 году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Омской области от 21 сентября 2023 года N 204-рп "Об определении территории для реализации Модели системы долговременного ухода за гражданами пожилого возраста и инвалидами, нуждающимися в уходе, на территории Омской области в 2025 году" (при необходимости)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31.01.2026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1.3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работы межведомственной рабочей группы по созданию СДУ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Актуализация </w:t>
            </w:r>
            <w:hyperlink w:history="0" r:id="rId13" w:tooltip="Распоряжение Правительства Омской области от 19.10.2023 N 224-рп (ред. от 06.03.2025) &quot;О межведомственной рабочей группе по внедрению системы долговременного ухода за гражданами пожилого возраста и инвалидами, нуждающимися в уходе, на территории Омской област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распоряжения</w:t>
              </w:r>
            </w:hyperlink>
            <w:r>
              <w:rPr>
                <w:sz w:val="24"/>
              </w:rPr>
              <w:t xml:space="preserve"> Правительства Омской области от 19 октября 2023 года N 224-рп "О межведомственной рабочей группе по внедрению системы долговременного ухода за гражданами пожилого возраста и инвалидами, нуждающимися в уходе, на территории Омской области" (при необходимости)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1.4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Внесение изменений в </w:t>
            </w:r>
            <w:hyperlink w:history="0" r:id="rId14" w:tooltip="Постановление Правительства Омской области от 07.12.2023 N 665-п (ред. от 12.12.2024) &quot;Об утверждении Регламента межведомственного взаимодействия в системе долговременного ухода за гражданами пожилого возраста и инвалидами, нуждающимися в уходе, в Омской област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Регламент</w:t>
              </w:r>
            </w:hyperlink>
            <w:r>
              <w:rPr>
                <w:sz w:val="24"/>
              </w:rPr>
              <w:t xml:space="preserve"> межведомственного взаимодействия в системе долговременного ухода за гражданами пожилого возраста и инвалидами, нуждающимися в уходе, в Омской области, утвержденный постановлением Правительства Омской области от 7 декабря 2023 года N 665-п "Об утверждении Регламента межведомственного взаимодействия в системе долговременного ухода за гражданами пожилого возраста и инвалидами, нуждающимися в уходе, в Омской области" (при необходимости)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Минтруд,</w:t>
            </w:r>
          </w:p>
          <w:p>
            <w:pPr>
              <w:pStyle w:val="0"/>
            </w:pPr>
            <w:r>
              <w:rPr>
                <w:sz w:val="24"/>
              </w:rPr>
              <w:t xml:space="preserve">Министерство здравоохранения Омской области (далее - Минздрав)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Актуализация </w:t>
            </w:r>
            <w:hyperlink w:history="0" r:id="rId15" w:tooltip="Постановление Правительства Омской области от 07.12.2023 N 665-п (ред. от 12.12.2024) &quot;Об утверждении Регламента межведомственного взаимодействия в системе долговременного ухода за гражданами пожилого возраста и инвалидами, нуждающимися в уходе, в Омской област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Омской области от 7 декабря 2023 года N 665-п "Об утверждении Регламента межведомственного взаимодействия в системе долговременного ухода за гражданами пожилого возраста и инвалидами, нуждающимися в уходе, в Омской области" (при необходимости)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1.5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Создание и обеспечение функционирования модуля "СДУ" на базе государственной информационной системы Омской области "Электронный социальный регистр населения Омской области" (далее - ГИС ЭСРН) и единой системы межведомственного электронного взаимодействия (далее - СМЭВ) в целях межведомственного взаимодействия участников СДУ, в том числе информационного обмена сведениями о гражданах, нуждающихся в уходе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Минтруд,</w:t>
            </w:r>
          </w:p>
          <w:p>
            <w:pPr>
              <w:pStyle w:val="0"/>
            </w:pPr>
            <w:r>
              <w:rPr>
                <w:sz w:val="24"/>
              </w:rPr>
              <w:t xml:space="preserve">Минздрав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Введен в эксплуатацию и функционирует модуль "СДУ" на базе ГИС ЭСРН и СМЭВ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1.6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Внесение изменений в ключевые </w:t>
            </w:r>
            <w:hyperlink w:history="0" r:id="rId16" w:tooltip="Постановление Правительства Омской области от 28.03.2024 N 182-п (ред. от 06.03.2025) &quot;Об утверждении ключевых показателей эффективности пилотного проекта по созданию системы долговременного ухода за гражданами пожилого возраста и инвалидами, нуждающимися в уходе, реализуемого в Омской област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показатели</w:t>
              </w:r>
            </w:hyperlink>
            <w:r>
              <w:rPr>
                <w:sz w:val="24"/>
              </w:rPr>
              <w:t xml:space="preserve"> эффективности пилотного проекта по созданию СДУ, реализуемого в Омской области, утвержденные постановлением Правительства Омской области от 28 марта 2024 года N 182-п "Об утверждении ключевых показателей эффективности пилотного проекта по созданию системы долговременного ухода за гражданами пожилого возраста и инвалидами, нуждающимися в уходе, реализуемого в Омской области" (при необходимости)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Минтруд,</w:t>
            </w:r>
          </w:p>
          <w:p>
            <w:pPr>
              <w:pStyle w:val="0"/>
            </w:pPr>
            <w:r>
              <w:rPr>
                <w:sz w:val="24"/>
              </w:rPr>
              <w:t xml:space="preserve">Минздрав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Актуализация </w:t>
            </w:r>
            <w:hyperlink w:history="0" r:id="rId17" w:tooltip="Постановление Правительства Омской области от 28.03.2024 N 182-п (ред. от 06.03.2025) &quot;Об утверждении ключевых показателей эффективности пилотного проекта по созданию системы долговременного ухода за гражданами пожилого возраста и инвалидами, нуждающимися в уходе, реализуемого в Омской области&quot; ------------ Недействующая редакция {КонсультантПлюс}">
              <w:r>
                <w:rPr>
                  <w:sz w:val="24"/>
                  <w:color w:val="0000ff"/>
                </w:rPr>
                <w:t xml:space="preserve">постановления</w:t>
              </w:r>
            </w:hyperlink>
            <w:r>
              <w:rPr>
                <w:sz w:val="24"/>
              </w:rPr>
              <w:t xml:space="preserve"> Правительства Омской области от 28 марта 2024 года N 182-п "Об утверждении ключевых показателей эффективности пилотного проекта по созданию системы долговременного ухода за гражданами пожилого возраста и инвалидами, нуждающимися в уходе, реализуемого в Омской области" (при необходимости)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28.02.2026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1.7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Проведение оценки результативности и эффективности создания СДУ на территории Омской области за 2025 год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Минтруд,</w:t>
            </w:r>
          </w:p>
          <w:p>
            <w:pPr>
              <w:pStyle w:val="0"/>
            </w:pPr>
            <w:r>
              <w:rPr>
                <w:sz w:val="24"/>
              </w:rPr>
              <w:t xml:space="preserve">Минздрав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 в адрес Министерства труда и социальной защиты Российской Федерации (далее - Минтруд РФ)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01.03.2026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31.03.2026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Проведение оценки численности получателей социальных услуг в форме социального обслуживания на дому, численности социальных работников в Омской области и объема финансового обеспечения предоставления социальных услуг в форме социального обслуживания на дому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 в адрес Минтруда РФ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1.8.1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В 2025 году (факт):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1.8.1.1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Численность получателей социальных услуг в форме социального обслуживания на дому - 28 097 человек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 в адрес Минтруда РФ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01.04.2026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1.8.1.2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Численность социальных работников в Омской области - 2 497 человек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 в адрес Минтруда РФ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01.04.2026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1.8.1.3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финансового обеспечения предоставления социальных услуг в форме социального обслуживания на дому - 2 428 327,83 тыс. рублей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 в адрес Минтруда РФ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01.04.2026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1.8.2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В 2026 году оценка (план):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 в адрес Минтруда РФ</w:t>
            </w:r>
          </w:p>
        </w:tc>
        <w:tc>
          <w:tcPr>
            <w:tcW w:w="1247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04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53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36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1.8.2.1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Численность получателей социальных услуг в форме социального обслуживания на дому - 28 000 человек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 в адрес Минтруда РФ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1.8.2.2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Численность социальных работников в Омской области - 2 367 человек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 в адрес Минтруда РФ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1.8.2.3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Объем финансового обеспечения предоставления социальных услуг в форме социального обслуживания на дому - 2 211 257,33 тыс. рублей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Письмо в адрес Минтруда РФ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gridSpan w:val="7"/>
            <w:tcW w:w="15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 работы регионального, территориального координационных центров, поставщиков социальных услуг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2.1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Функционирование регионального координационного центра (далее - РКЦ), расположенного по адресу: 644007, г. Омск, ул. Чернышевского, д. 4, на базе казенного учреждения Омской области "Социальная защита" (далее - КУ "Соцзащита")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РКЦ, расположенный по адресу: 644007, г. Омск, ул. Чернышевского, д. 4,</w:t>
            </w:r>
          </w:p>
          <w:p>
            <w:pPr>
              <w:pStyle w:val="0"/>
            </w:pPr>
            <w:r>
              <w:rPr>
                <w:sz w:val="24"/>
              </w:rPr>
              <w:t xml:space="preserve">функционирует на базе КУ "Соцзащита"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2.2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работы специалистов по социальной работе в РКЦ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В штатном расписании РКЦ</w:t>
            </w:r>
          </w:p>
          <w:p>
            <w:pPr>
              <w:pStyle w:val="0"/>
            </w:pPr>
            <w:r>
              <w:rPr>
                <w:sz w:val="24"/>
              </w:rPr>
              <w:t xml:space="preserve">4 штатные единицы, в том числе 2 штатные единицы, выполняющие функции экспертов по оценке нуждаемости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2.3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Функционирование территориальных координационных центров (далее - ТКЦ) на базе:</w:t>
            </w:r>
          </w:p>
          <w:p>
            <w:pPr>
              <w:pStyle w:val="0"/>
            </w:pPr>
            <w:r>
              <w:rPr>
                <w:sz w:val="24"/>
              </w:rPr>
              <w:t xml:space="preserve">- Управления Минтруда (далее - УМТСР) по городу Омску, расположенного по адресу: 644099, г. Омск, ул. П. Некрасова, д. 3/1;</w:t>
            </w:r>
          </w:p>
          <w:p>
            <w:pPr>
              <w:pStyle w:val="0"/>
            </w:pPr>
            <w:r>
              <w:rPr>
                <w:sz w:val="24"/>
              </w:rPr>
              <w:t xml:space="preserve">- Кормиловского отдела Межрайонного УМТСР N 7, расположенного по адресу: 646970, Омская обл., Кормиловский р-н, р.п. Кормиловка, ул. Советская, д. 9;</w:t>
            </w:r>
          </w:p>
          <w:p>
            <w:pPr>
              <w:pStyle w:val="0"/>
            </w:pPr>
            <w:r>
              <w:rPr>
                <w:sz w:val="24"/>
              </w:rPr>
              <w:t xml:space="preserve">- Межрайонного УМТСР N 7, расположенного по адресу: 646901, Омская обл., г. Калачинск, ул. Петра Ильичева, д. 9;</w:t>
            </w:r>
          </w:p>
          <w:p>
            <w:pPr>
              <w:pStyle w:val="0"/>
            </w:pPr>
            <w:r>
              <w:rPr>
                <w:sz w:val="24"/>
              </w:rPr>
              <w:t xml:space="preserve">- Одесского отдела Межрайонного УМТСР N 2, расположенного по адресу: 646860, Омская обл., Одесский р-н, с. Одесское, ул. Ленина, 45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Функционируют 4 ТКЦ:</w:t>
            </w:r>
          </w:p>
          <w:p>
            <w:pPr>
              <w:pStyle w:val="0"/>
            </w:pPr>
            <w:r>
              <w:rPr>
                <w:sz w:val="24"/>
              </w:rPr>
              <w:t xml:space="preserve">- УМТСР по городу Омску;</w:t>
            </w:r>
          </w:p>
          <w:p>
            <w:pPr>
              <w:pStyle w:val="0"/>
            </w:pPr>
            <w:r>
              <w:rPr>
                <w:sz w:val="24"/>
              </w:rPr>
              <w:t xml:space="preserve">- Кормиловский отдел Межрайонного УМТСР N 7;</w:t>
            </w:r>
          </w:p>
          <w:p>
            <w:pPr>
              <w:pStyle w:val="0"/>
            </w:pPr>
            <w:r>
              <w:rPr>
                <w:sz w:val="24"/>
              </w:rPr>
              <w:t xml:space="preserve">- Межрайонное УМТСР N 7;</w:t>
            </w:r>
          </w:p>
          <w:p>
            <w:pPr>
              <w:pStyle w:val="0"/>
            </w:pPr>
            <w:r>
              <w:rPr>
                <w:sz w:val="24"/>
              </w:rPr>
              <w:t xml:space="preserve">- Одесский отдел Межрайонного УМТСР N 2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2.4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работы экспертов по оценке нуждаемости в ТКЦ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В штатном расписании ТКЦ 7 штатных единиц, выполняющих функции экспертов по оценке нуждаемости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2.5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Функционирование пунктов проката технических средств реабилитации (далее - пункт проката ТСР) на базе организаций социального обслуживания, участвующих в реализации пилотного проекта по СДУ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Пункт проката ТСР функционирует в следующих организациях социального обслуживания: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- бюджетное учреждение Омской области (далее - БУ) "Комплексный центр социального обслуживания населения "Вдохновение" Октябрьского административного округа" (г. Омск, Комсомольский городок, д. 21);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Калачинского района" (Омская обл., г. Калачинск, ул. Черепова, д. 79а);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Кормиловского района" (Омская обл., Кормиловский р-н, р.п. Кормиловка, ул. Советская, д. 9);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Одесского района" (Омская обл., Одесский р-н, с. Одесское, ул. Лебедева, д. 44);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"Любава" Советского административного округа" (г. Омск, ул. Магистральная, д. 50);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"Пенаты" Центрального административного округа (г. Омск, п. Биофабрика, д. 14);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"Родник" Ленинского административного округа (г. Омск, ул. Гуртьева, д. 7а);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"Рябинушка" Центрального административного округа" (г. Омск, пос. Козицкого, д. 7);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"Сударушка" Кировского административного округа" (г. Омск, ул. Новороссийская, д. 5а)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2.6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Функционирование "школ ухода" на базе организаций социального обслуживания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"Школа ухода" функционирует в следующих организациях социального обслуживания: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"Вдохновение" Октябрьского административного округа" (г. Омск, Комсомольский городок, д. 21);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Калачинского района" (Омская обл., г. Калачинск, ул. Черепова, д. 79а);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Кормиловского района" (Омская обл., Кормиловский р-н, р.п. Кормиловка, ул. Советская, д. 9);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Одесского района" (Омская обл., Одесский р-н, с. Одесское, ул. Лебедева, д. 44);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"Любава" Советского административного округа" (г. Омск, ул. Магистральная, д. 50);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"Пенаты" Центрального административного округа (г. Омск, п. Биофабрика, д. 14);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"Родник" Ленинского административного округа" (г. Омск, ул. Гуртьева, д. 7а);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"Рябинушка" Центрального административного округа" (г. Омск, пос. Козицкого, д. 7);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"Сударушка" Кировского административного округа" (г. Омск, ул. Новороссийская, д. 5а)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gridSpan w:val="7"/>
            <w:tcW w:w="15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Мероприятия по подготовке и дополнительному профессиональному обучению сотрудников организаций социального обслуживания, участвующих в реализации СДУ на территории Омской области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3.1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Оценка потребности в экспертах по оценке нуждаемости, специалистах, участвующих в организации оказания социальных услуг по уходу (далее - организаторы ухода), и специалистах РКЦ и ТКЦ, поиск кандидатов на указанные должности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Минтруд,</w:t>
            </w:r>
          </w:p>
          <w:p>
            <w:pPr>
              <w:pStyle w:val="0"/>
            </w:pPr>
            <w:r>
              <w:rPr>
                <w:sz w:val="24"/>
              </w:rPr>
              <w:t xml:space="preserve">РКЦ,</w:t>
            </w:r>
          </w:p>
          <w:p>
            <w:pPr>
              <w:pStyle w:val="0"/>
            </w:pPr>
            <w:r>
              <w:rPr>
                <w:sz w:val="24"/>
              </w:rPr>
              <w:t xml:space="preserve">ТКЦ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Подобраны эксперты по оценке нуждаемости, организаторы ухода и специалисты РКЦ, ТКЦ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3.2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Оценка потребности в специалистах организаций социального обслуживания, участвующих в организации и предоставлении социальных услуг по уходу (далее - помощники по уходу), поиск кандидатов на указанные должности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Минтруд,</w:t>
            </w:r>
          </w:p>
          <w:p>
            <w:pPr>
              <w:pStyle w:val="0"/>
            </w:pPr>
            <w:r>
              <w:rPr>
                <w:sz w:val="24"/>
              </w:rPr>
              <w:t xml:space="preserve">РКЦ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Подобраны помощники по уходу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3.3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обучения экспертов по оценке нуждаемости по программе "Экспертная деятельность по определению индивидуальной потребности граждан в социальном обслуживании, в том числе в социальных услугах по уходу" (при необходимости)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Минтруд,</w:t>
            </w:r>
          </w:p>
          <w:p>
            <w:pPr>
              <w:pStyle w:val="0"/>
            </w:pPr>
            <w:r>
              <w:rPr>
                <w:sz w:val="24"/>
              </w:rPr>
              <w:t xml:space="preserve">РКЦ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Организовано обучение не менее 2 сотрудников РКЦ и 5 сотрудников ТКЦ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3.4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обучения помощников по уходу по профессиональной программе "Помощник по уходу" (при необходимости)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Минтруд,</w:t>
            </w:r>
          </w:p>
          <w:p>
            <w:pPr>
              <w:pStyle w:val="0"/>
            </w:pPr>
            <w:r>
              <w:rPr>
                <w:sz w:val="24"/>
              </w:rPr>
              <w:t xml:space="preserve">Минздрав,</w:t>
            </w:r>
          </w:p>
          <w:p>
            <w:pPr>
              <w:pStyle w:val="0"/>
            </w:pPr>
            <w:r>
              <w:rPr>
                <w:sz w:val="24"/>
              </w:rPr>
              <w:t xml:space="preserve">бюджетное учреждение дополнительного профессионального образования Омской области "Центр повышения квалификации работников здравоохранения",</w:t>
            </w:r>
          </w:p>
          <w:p>
            <w:pPr>
              <w:pStyle w:val="0"/>
            </w:pPr>
            <w:r>
              <w:rPr>
                <w:sz w:val="24"/>
              </w:rPr>
              <w:t xml:space="preserve">Омское региональное отделение Общероссийской общественной организации "Российский Красный Крест"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Организовано обучение не менее 40 помощников по уходу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3.5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обучения организаторов ухода по профессиональной программе "Организатор ухода" (при необходимости)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Минтруд,</w:t>
            </w:r>
          </w:p>
          <w:p>
            <w:pPr>
              <w:pStyle w:val="0"/>
            </w:pPr>
            <w:r>
              <w:rPr>
                <w:sz w:val="24"/>
              </w:rPr>
              <w:t xml:space="preserve">РКЦ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Организовано обучение не менее 6 организаторов ухода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outlineLvl w:val="1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gridSpan w:val="7"/>
            <w:tcW w:w="1525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Организация предоставления социальных услуг по уходу, включенных в социальный пакет долговременного ухода,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поставщиками социальных услуг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4.1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Обеспечение функционирования организаций социального обслуживания - государственных поставщиков социальных услуг (далее - организация социального обслуживания)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"Школа ухода" функционирует в следующих организациях социального обслуживания: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"Вдохновение" Октябрьского административного округа" (г. Омск, Комсомольский городок, д. 21);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Калачинского района" (Омская обл., г. Калачинск, ул. Черепова, д. 79а);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Кормиловского района" (Омская обл., Кормиловский р-н, р.п. Кормиловка, ул. Советская, д. 9);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Одесского района" (Омская обл., Одесский р-н, с. Одесское, ул. Лебедева, д. 44);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"Любава" Советского административного округа" (г. Омск, ул. Магистральная, д. 50);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"Пенаты" Центрального административного округа (г. Омск, п. Биофабрика, д. 14);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"Родник" Ленинского административного округа" (г. Омск, ул. Гуртьева, д. 7а);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"Рябинушка" Центрального административного округа" (г. Омск, пос. Козицкого, д. 7);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"Сударушка" Кировского административного округа" (г. Омск, ул. Новороссийская, д. 5а)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4.2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Обеспечение функционирования организаций социального обслуживания - негосударственных поставщиков социальных услуг (далее - негосударственный поставщик)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Участие негосударственных поставщиков в реализации СДУ не предусмотрено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4.3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работы организаторов ухода в организациях социального обслуживания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Количество штатных единиц организаторов ухода - 15,</w:t>
            </w:r>
          </w:p>
          <w:p>
            <w:pPr>
              <w:pStyle w:val="0"/>
            </w:pPr>
            <w:r>
              <w:rPr>
                <w:sz w:val="24"/>
              </w:rPr>
              <w:t xml:space="preserve">в том числе: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"Вдохновение" Октябрьского административного округа" (г. Омск, Комсомольский городок, д. 21) - 2 штатные единицы;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Калачинского района" (Омская обл., г. Калачинск, ул. Черепова, д. 79а) - 1 штатная единица;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Кормиловского района" (Омская обл., Кормиловский р-н, р.п. Кормиловка, ул. Советская, д. 9) - 1 штатная единица;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Одесского района" (Омская обл., Одесский р-н, с. Одесское, ул. Лебедева, д. 44) - 1 штатная единица;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"Любава" Советского административного округа" (г. Омск, ул. Магистральная, д. 50) - 2 штатные единицы;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"Пенаты" Центрального административного округа (г. Омск, п. Биофабрика, д. 14) - 2 штатные единицы;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"Родник" Ленинского административного округа" (г. Омск, ул. Гуртьева, д. 7а) - 2 штатные единицы;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"Рябинушка" Центрального административного округа" (г. Омск, пос. Козицкого, д. 7) - 2 штатные единицы;</w:t>
            </w:r>
          </w:p>
          <w:p>
            <w:pPr>
              <w:pStyle w:val="0"/>
            </w:pPr>
            <w:r>
              <w:rPr>
                <w:sz w:val="24"/>
              </w:rPr>
              <w:t xml:space="preserve">- БУ "Комплексный центр социального обслуживания населения "Сударушка" Кировского административного округа" (г. Омск, ул. Новороссийская, д. 5а) - 2 штатные единицы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рамках текущего финансирования</w:t>
            </w:r>
          </w:p>
        </w:tc>
      </w:tr>
      <w:tr>
        <w:tc>
          <w:tcPr>
            <w:tcW w:w="90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4.4</w:t>
            </w:r>
          </w:p>
        </w:tc>
        <w:tc>
          <w:tcPr>
            <w:tcW w:w="3458" w:type="dxa"/>
          </w:tcPr>
          <w:p>
            <w:pPr>
              <w:pStyle w:val="0"/>
            </w:pPr>
            <w:r>
              <w:rPr>
                <w:sz w:val="24"/>
              </w:rPr>
              <w:t xml:space="preserve">Организация работы помощников по уходу в организациях социального обслуживания</w:t>
            </w:r>
          </w:p>
        </w:tc>
        <w:tc>
          <w:tcPr>
            <w:tcW w:w="2665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</w:tcPr>
          <w:p>
            <w:pPr>
              <w:pStyle w:val="0"/>
            </w:pPr>
            <w:r>
              <w:rPr>
                <w:sz w:val="24"/>
              </w:rPr>
              <w:t xml:space="preserve">Трудоустроено в организации социального обслуживания не менее 280 помощников по уходу</w:t>
            </w:r>
          </w:p>
        </w:tc>
        <w:tc>
          <w:tcPr>
            <w:tcW w:w="124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государственными поставщиками социальных услуг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193 172,0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189 308,6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3 863,4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4.5.1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в январе 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01.01.2026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16 345,3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16 018,4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326,9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4.5.2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в феврале 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01.02.2026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14 859,4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14 562,2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297,2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4.5.3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 социальных услуг по уходу, включаемых в социальный пакет долговременного ухода, бесплатно в форме социального обслуживания на дому в марте 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01.03.2026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16 345,3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16 018,4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326,9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4.5.4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в апреле 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01.04.2026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15 973,8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15 654,4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319,5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4.5.5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в мае 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01.05.2026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16 345,3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16 018,4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326,9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4.5.6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в июне 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01.06.2026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15 973,8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15 654,4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319,5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4.5.7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в июле 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01.07.2026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16 345,3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16 018,4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326,9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4.5.8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в августе 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01.08.2026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16 345,3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16 018,4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326,9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4.5.9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в сентябре</w:t>
            </w:r>
          </w:p>
          <w:p>
            <w:pPr>
              <w:pStyle w:val="0"/>
            </w:pPr>
            <w:r>
              <w:rPr>
                <w:sz w:val="24"/>
              </w:rPr>
              <w:t xml:space="preserve">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01.09.2026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15 973,8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15 654,4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319,5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4.5.10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в октябре 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</w:t>
            </w:r>
          </w:p>
          <w:p>
            <w:pPr>
              <w:pStyle w:val="0"/>
            </w:pPr>
            <w:r>
              <w:rPr>
                <w:sz w:val="24"/>
              </w:rPr>
              <w:t xml:space="preserve">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01.10.2026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16 345,3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16 018,4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326,9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4.5.11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в ноябре 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01.11.2026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15 973,8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15 654,4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319,5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4.5.12</w:t>
            </w:r>
          </w:p>
        </w:tc>
        <w:tc>
          <w:tcPr>
            <w:tcW w:w="3458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Предоставление гражданам, нуждающимся в уходе, социальных услуг по уходу, включаемых в социальный пакет долговременного ухода, бесплатно в форме социального обслуживания на дому в декабре 2026 года</w:t>
            </w:r>
          </w:p>
        </w:tc>
        <w:tc>
          <w:tcPr>
            <w:tcW w:w="266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Минтруд</w:t>
            </w:r>
          </w:p>
        </w:tc>
        <w:tc>
          <w:tcPr>
            <w:tcW w:w="3685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Численность граждан, получающих социальные услуги по уходу, входящие в социальный пакет долговременного ухода, бесплатно в форме социального обслуживания на дому, - 367 чел., из них:</w:t>
            </w:r>
          </w:p>
          <w:p>
            <w:pPr>
              <w:pStyle w:val="0"/>
            </w:pPr>
            <w:r>
              <w:rPr>
                <w:sz w:val="24"/>
              </w:rPr>
              <w:t xml:space="preserve">36 чел. - 1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185 чел. - 2 уровень нуждаемости;</w:t>
            </w:r>
          </w:p>
          <w:p>
            <w:pPr>
              <w:pStyle w:val="0"/>
            </w:pPr>
            <w:r>
              <w:rPr>
                <w:sz w:val="24"/>
              </w:rPr>
              <w:t xml:space="preserve">146 чел. - 3 уровень нуждаемости</w:t>
            </w:r>
          </w:p>
        </w:tc>
        <w:tc>
          <w:tcPr>
            <w:tcW w:w="1247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01.12.2026</w:t>
            </w:r>
          </w:p>
        </w:tc>
        <w:tc>
          <w:tcPr>
            <w:tcW w:w="1304" w:type="dxa"/>
            <w:vMerge w:val="restart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31.12.2026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16 345,3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16 018,4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326,8</w:t>
            </w:r>
          </w:p>
        </w:tc>
      </w:tr>
      <w:tr>
        <w:tc>
          <w:tcPr>
            <w:tcW w:w="907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5"/>
            <w:tcW w:w="12359" w:type="dxa"/>
            <w:vMerge w:val="restart"/>
          </w:tcPr>
          <w:p>
            <w:pPr>
              <w:pStyle w:val="0"/>
            </w:pPr>
            <w:r>
              <w:rPr>
                <w:sz w:val="24"/>
              </w:rPr>
              <w:t xml:space="preserve">Итого</w:t>
            </w:r>
          </w:p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Всего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193 172,0</w:t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Федеральный бюджет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189 308,6</w:t>
            </w:r>
          </w:p>
        </w:tc>
      </w:tr>
      <w:tr>
        <w:tc>
          <w:tcPr>
            <w:vMerge w:val="continue"/>
          </w:tcPr>
          <w:p/>
        </w:tc>
        <w:tc>
          <w:tcPr>
            <w:gridSpan w:val="5"/>
            <w:vMerge w:val="continue"/>
          </w:tcPr>
          <w:p/>
        </w:tc>
        <w:tc>
          <w:tcPr>
            <w:tcW w:w="15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Бюджет субъекта Российской Федерации</w:t>
            </w:r>
          </w:p>
        </w:tc>
        <w:tc>
          <w:tcPr>
            <w:tcW w:w="136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3 863,4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9"/>
      <w:headerReference w:type="first" r:id="rId9"/>
      <w:footerReference w:type="default" r:id="rId10"/>
      <w:footerReference w:type="first" r:id="rId10"/>
      <w:pgSz w:w="16838" w:h="11906" w:orient="landscape"/>
      <w:pgMar w:top="1133" w:right="397" w:bottom="566" w:left="397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Омской области от 19.12.2025 N 672-п</w:t>
            <w:br/>
            <w:t>"Об утверждении Плана мероприятий ("дорожной карты") по...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Омской области от 19.12.2025 N 672-п</w:t>
            <w:br/>
            <w:t>"Об утверждении Плана мероприятий ("дорожной карты") по...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75991&amp;date=12.10.2026" TargetMode = "Externa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yperlink" Target="https://login.consultant.ru/link/?req=doc&amp;base=RLAW148&amp;n=224092&amp;date=12.10.2026" TargetMode = "External"/><Relationship Id="rId12" Type="http://schemas.openxmlformats.org/officeDocument/2006/relationships/hyperlink" Target="https://login.consultant.ru/link/?req=doc&amp;base=RLAW148&amp;n=222712&amp;date=12.10.2026" TargetMode = "External"/><Relationship Id="rId13" Type="http://schemas.openxmlformats.org/officeDocument/2006/relationships/hyperlink" Target="https://login.consultant.ru/link/?req=doc&amp;base=RLAW148&amp;n=224093&amp;date=12.10.2026" TargetMode = "External"/><Relationship Id="rId14" Type="http://schemas.openxmlformats.org/officeDocument/2006/relationships/hyperlink" Target="https://login.consultant.ru/link/?req=doc&amp;base=RLAW148&amp;n=220542&amp;date=12.10.2026&amp;dst=100068&amp;field=134" TargetMode = "External"/><Relationship Id="rId15" Type="http://schemas.openxmlformats.org/officeDocument/2006/relationships/hyperlink" Target="https://login.consultant.ru/link/?req=doc&amp;base=RLAW148&amp;n=220542&amp;date=12.10.2026" TargetMode = "External"/><Relationship Id="rId16" Type="http://schemas.openxmlformats.org/officeDocument/2006/relationships/hyperlink" Target="https://login.consultant.ru/link/?req=doc&amp;base=RLAW148&amp;n=224094&amp;date=12.10.2026&amp;dst=100012&amp;field=134" TargetMode = "External"/><Relationship Id="rId17" Type="http://schemas.openxmlformats.org/officeDocument/2006/relationships/hyperlink" Target="https://login.consultant.ru/link/?req=doc&amp;base=RLAW148&amp;n=224094&amp;date=12.10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foot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2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Омской области от 19.12.2025 N 672-п
"Об утверждении Плана мероприятий ("дорожной карты") по реализации системы долговременного ухода за гражданами пожилого возраста и инвалидами, нуждающимися в уходе, на территории Омской области в 2026 году"</dc:title>
  <dcterms:created xsi:type="dcterms:W3CDTF">2026-10-12T04:21:54Z</dcterms:created>
</cp:coreProperties>
</file>